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6D322A3C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</w:t>
      </w:r>
      <w:r w:rsidR="0097420C">
        <w:rPr>
          <w:rFonts w:ascii="Tahoma" w:hAnsi="Tahoma" w:cs="Tahoma"/>
          <w:sz w:val="18"/>
          <w:szCs w:val="18"/>
        </w:rPr>
        <w:t>31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Pr="002940DF">
        <w:rPr>
          <w:rFonts w:ascii="Tahoma" w:hAnsi="Tahoma" w:cs="Tahoma"/>
          <w:sz w:val="18"/>
          <w:szCs w:val="18"/>
        </w:rPr>
        <w:t>2</w:t>
      </w:r>
      <w:r w:rsidR="0097420C">
        <w:rPr>
          <w:rFonts w:ascii="Tahoma" w:hAnsi="Tahoma" w:cs="Tahoma"/>
          <w:sz w:val="18"/>
          <w:szCs w:val="18"/>
        </w:rPr>
        <w:t>1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97420C">
        <w:rPr>
          <w:rFonts w:ascii="Tahoma" w:hAnsi="Tahoma" w:cs="Tahoma"/>
          <w:sz w:val="18"/>
          <w:szCs w:val="18"/>
        </w:rPr>
        <w:t>8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00CE28AC" w:rsidR="002940DF" w:rsidRPr="0097420C" w:rsidRDefault="0097420C" w:rsidP="001D76F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72791774"/>
      <w:bookmarkStart w:id="2" w:name="_Hlk139882729"/>
      <w:r w:rsidRPr="0097420C">
        <w:rPr>
          <w:rFonts w:ascii="Tahoma" w:hAnsi="Tahoma" w:cs="Tahoma"/>
          <w:sz w:val="18"/>
          <w:szCs w:val="18"/>
          <w:lang w:bidi="en-US"/>
        </w:rPr>
        <w:t>Remont komina ponad dachem w budynku przy ul. Armii Krajowej 10 w Koninie</w:t>
      </w:r>
      <w:r w:rsidRPr="0097420C">
        <w:rPr>
          <w:rFonts w:ascii="Tahoma" w:hAnsi="Tahoma" w:cs="Tahoma"/>
          <w:sz w:val="18"/>
          <w:szCs w:val="18"/>
        </w:rPr>
        <w:t>.</w:t>
      </w:r>
      <w:r w:rsidRPr="0097420C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3" w:name="_Hlk139965471"/>
      <w:bookmarkEnd w:id="0"/>
    </w:p>
    <w:bookmarkEnd w:id="1"/>
    <w:bookmarkEnd w:id="3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2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1074061A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6F2970">
        <w:rPr>
          <w:rFonts w:ascii="Tahoma" w:hAnsi="Tahoma" w:cs="Tahoma"/>
          <w:b/>
          <w:bCs/>
          <w:sz w:val="18"/>
          <w:szCs w:val="18"/>
        </w:rPr>
        <w:t>Armii Krajowej 10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8660085" w14:textId="1B69EA34" w:rsidR="00247544" w:rsidRDefault="002940DF" w:rsidP="00247544">
      <w:pPr>
        <w:rPr>
          <w:rFonts w:ascii="Tahoma" w:hAnsi="Tahoma" w:cs="Tahoma"/>
          <w:sz w:val="18"/>
          <w:szCs w:val="18"/>
          <w:lang w:bidi="en-US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247544">
        <w:rPr>
          <w:rFonts w:ascii="Tahoma" w:hAnsi="Tahoma" w:cs="Tahoma"/>
          <w:sz w:val="18"/>
          <w:szCs w:val="18"/>
        </w:rPr>
        <w:t>r</w:t>
      </w:r>
      <w:r w:rsidR="00247544" w:rsidRPr="00247544">
        <w:rPr>
          <w:rFonts w:ascii="Tahoma" w:hAnsi="Tahoma" w:cs="Tahoma"/>
          <w:sz w:val="18"/>
          <w:szCs w:val="18"/>
          <w:lang w:bidi="en-US"/>
        </w:rPr>
        <w:t>emont</w:t>
      </w:r>
      <w:r w:rsidR="006F2970" w:rsidRPr="006F2970">
        <w:rPr>
          <w:rFonts w:ascii="Tahoma" w:hAnsi="Tahoma" w:cs="Tahoma"/>
          <w:sz w:val="18"/>
          <w:szCs w:val="18"/>
          <w:lang w:bidi="en-US"/>
        </w:rPr>
        <w:t xml:space="preserve"> komina ponad dachem w budynku przy ul. Armii Krajowej 10 w Koninie</w:t>
      </w:r>
      <w:r w:rsidR="006F2970" w:rsidRPr="006F2970">
        <w:rPr>
          <w:rFonts w:ascii="Tahoma" w:hAnsi="Tahoma" w:cs="Tahoma"/>
          <w:sz w:val="18"/>
          <w:szCs w:val="18"/>
        </w:rPr>
        <w:t>.</w:t>
      </w:r>
      <w:r w:rsidR="006F2970" w:rsidRPr="006F2970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4AD22052" w14:textId="77777777" w:rsidR="006F2970" w:rsidRPr="00247544" w:rsidRDefault="006F2970" w:rsidP="00247544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7A796520" w14:textId="26296204" w:rsidR="002940DF" w:rsidRDefault="002940DF" w:rsidP="002940DF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</w:t>
      </w:r>
      <w:r w:rsidR="000F53A8">
        <w:rPr>
          <w:rFonts w:ascii="Tahoma" w:hAnsi="Tahoma" w:cs="Tahoma"/>
          <w:sz w:val="18"/>
          <w:szCs w:val="18"/>
        </w:rPr>
        <w:t>5</w:t>
      </w:r>
      <w:r w:rsidR="006F2970">
        <w:rPr>
          <w:rFonts w:ascii="Tahoma" w:hAnsi="Tahoma" w:cs="Tahoma"/>
          <w:sz w:val="18"/>
          <w:szCs w:val="18"/>
        </w:rPr>
        <w:t>410000-4 Tynkowanie</w:t>
      </w:r>
    </w:p>
    <w:p w14:paraId="70D3A4AA" w14:textId="77777777" w:rsidR="00C23B58" w:rsidRDefault="00C23B58" w:rsidP="002940DF">
      <w:pPr>
        <w:rPr>
          <w:rFonts w:ascii="Tahoma" w:hAnsi="Tahoma" w:cs="Tahoma"/>
          <w:sz w:val="18"/>
          <w:szCs w:val="18"/>
        </w:rPr>
      </w:pPr>
    </w:p>
    <w:p w14:paraId="5CDE24B7" w14:textId="68D5446B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6A196570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247544">
        <w:rPr>
          <w:rFonts w:ascii="Tahoma" w:hAnsi="Tahoma" w:cs="Tahoma"/>
          <w:sz w:val="18"/>
          <w:szCs w:val="18"/>
        </w:rPr>
        <w:t>0</w:t>
      </w:r>
      <w:r w:rsidR="006F2970">
        <w:rPr>
          <w:rFonts w:ascii="Tahoma" w:hAnsi="Tahoma" w:cs="Tahoma"/>
          <w:sz w:val="18"/>
          <w:szCs w:val="18"/>
        </w:rPr>
        <w:t>3</w:t>
      </w:r>
      <w:r w:rsidR="00247544">
        <w:rPr>
          <w:rFonts w:ascii="Tahoma" w:hAnsi="Tahoma" w:cs="Tahoma"/>
          <w:sz w:val="18"/>
          <w:szCs w:val="18"/>
        </w:rPr>
        <w:t>.</w:t>
      </w:r>
      <w:r w:rsidRPr="002940DF">
        <w:rPr>
          <w:rFonts w:ascii="Tahoma" w:hAnsi="Tahoma" w:cs="Tahoma"/>
          <w:sz w:val="18"/>
          <w:szCs w:val="18"/>
        </w:rPr>
        <w:t>0</w:t>
      </w:r>
      <w:r w:rsidR="006F2970">
        <w:rPr>
          <w:rFonts w:ascii="Tahoma" w:hAnsi="Tahoma" w:cs="Tahoma"/>
          <w:sz w:val="18"/>
          <w:szCs w:val="18"/>
        </w:rPr>
        <w:t>9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0FA59A2B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>do dnia 31.</w:t>
      </w:r>
      <w:r w:rsidR="00247544">
        <w:rPr>
          <w:rFonts w:ascii="Tahoma" w:hAnsi="Tahoma" w:cs="Tahoma"/>
          <w:b/>
          <w:bCs/>
          <w:sz w:val="18"/>
          <w:szCs w:val="18"/>
        </w:rPr>
        <w:t>10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445DE91C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</w:t>
      </w:r>
      <w:r w:rsidR="006F2970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A32DF9">
        <w:rPr>
          <w:rFonts w:ascii="Tahoma" w:hAnsi="Tahoma" w:cs="Tahoma"/>
          <w:b/>
          <w:bCs/>
          <w:sz w:val="18"/>
          <w:szCs w:val="18"/>
        </w:rPr>
        <w:t>60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Pr="00A32DF9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19FFDE2B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6F297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Armii Krajowej </w:t>
            </w:r>
            <w:r w:rsidR="0024754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03AB2DC3" w14:textId="54C5F168" w:rsidR="001D76FC" w:rsidRPr="001D76FC" w:rsidRDefault="002940DF" w:rsidP="001D76FC">
            <w:pPr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6F2970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Remont komina ponad dachem w budynku przy </w:t>
            </w:r>
            <w:r w:rsidR="006F2970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ul. </w:t>
            </w:r>
            <w:r w:rsidR="006F2970">
              <w:rPr>
                <w:rFonts w:ascii="Tahoma" w:hAnsi="Tahoma" w:cs="Tahoma"/>
                <w:b/>
                <w:sz w:val="18"/>
                <w:szCs w:val="18"/>
                <w:lang w:bidi="en-US"/>
              </w:rPr>
              <w:t>Armii Krajowej 10</w:t>
            </w:r>
            <w:r w:rsidR="006F2970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w Koninie</w:t>
            </w:r>
            <w:r w:rsidR="006F2970" w:rsidRPr="00FD716E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="006F2970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1D76FC" w:rsidRPr="001D76FC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</w:p>
          <w:p w14:paraId="6951CB7D" w14:textId="6FCEB916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247544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="006F2970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6F2970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6F2970">
              <w:rPr>
                <w:rFonts w:ascii="Tahoma" w:hAnsi="Tahoma" w:cs="Tahoma"/>
                <w:b/>
                <w:bCs/>
                <w:sz w:val="18"/>
                <w:szCs w:val="18"/>
              </w:rPr>
              <w:t>45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”.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A32DF9">
        <w:rPr>
          <w:rFonts w:ascii="Tahoma" w:hAnsi="Tahoma" w:cs="Tahoma"/>
          <w:b/>
          <w:sz w:val="18"/>
          <w:szCs w:val="18"/>
        </w:rPr>
        <w:t xml:space="preserve">. 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="00614DDC" w:rsidRPr="00614DDC">
        <w:rPr>
          <w:sz w:val="18"/>
          <w:szCs w:val="18"/>
        </w:rPr>
        <w:t xml:space="preserve"> </w:t>
      </w:r>
      <w:r w:rsidR="00614DDC" w:rsidRPr="00614DDC">
        <w:rPr>
          <w:rFonts w:ascii="Tahoma" w:hAnsi="Tahoma" w:cs="Tahoma"/>
          <w:sz w:val="18"/>
          <w:szCs w:val="18"/>
        </w:rPr>
        <w:t xml:space="preserve">polegającą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</w:t>
      </w:r>
      <w:r w:rsidRPr="00A32DF9">
        <w:rPr>
          <w:rFonts w:ascii="Tahoma" w:hAnsi="Tahoma" w:cs="Tahoma"/>
          <w:sz w:val="18"/>
          <w:szCs w:val="18"/>
        </w:rPr>
        <w:lastRenderedPageBreak/>
        <w:t xml:space="preserve">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00D79176" w14:textId="20E9A305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2E54D88F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CD07CE">
        <w:rPr>
          <w:rFonts w:ascii="Tahoma" w:hAnsi="Tahoma" w:cs="Tahoma"/>
          <w:b/>
          <w:bCs/>
          <w:sz w:val="18"/>
          <w:szCs w:val="18"/>
        </w:rPr>
        <w:t>0</w:t>
      </w:r>
      <w:r w:rsidR="006F2970">
        <w:rPr>
          <w:rFonts w:ascii="Tahoma" w:hAnsi="Tahoma" w:cs="Tahoma"/>
          <w:b/>
          <w:bCs/>
          <w:sz w:val="18"/>
          <w:szCs w:val="18"/>
        </w:rPr>
        <w:t>2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6F2970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8A66D2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6F2970">
        <w:rPr>
          <w:rFonts w:ascii="Tahoma" w:hAnsi="Tahoma" w:cs="Tahoma"/>
          <w:b/>
          <w:bCs/>
          <w:sz w:val="18"/>
          <w:szCs w:val="18"/>
        </w:rPr>
        <w:t>30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0AE082A9" w:rsidR="002940DF" w:rsidRPr="00CD07CE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CD07CE" w:rsidRPr="00CD07CE">
        <w:rPr>
          <w:rFonts w:ascii="Tahoma" w:hAnsi="Tahoma" w:cs="Tahoma"/>
          <w:b/>
          <w:bCs/>
          <w:sz w:val="18"/>
          <w:szCs w:val="18"/>
        </w:rPr>
        <w:t>0</w:t>
      </w:r>
      <w:r w:rsidR="006F2970">
        <w:rPr>
          <w:rFonts w:ascii="Tahoma" w:hAnsi="Tahoma" w:cs="Tahoma"/>
          <w:b/>
          <w:bCs/>
          <w:sz w:val="18"/>
          <w:szCs w:val="18"/>
        </w:rPr>
        <w:t>2</w:t>
      </w:r>
      <w:r w:rsidRPr="00CD07CE">
        <w:rPr>
          <w:rFonts w:ascii="Tahoma" w:hAnsi="Tahoma" w:cs="Tahoma"/>
          <w:b/>
          <w:bCs/>
          <w:sz w:val="18"/>
          <w:szCs w:val="18"/>
        </w:rPr>
        <w:t>.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="006F2970">
        <w:rPr>
          <w:rFonts w:ascii="Tahoma" w:hAnsi="Tahoma" w:cs="Tahoma"/>
          <w:b/>
          <w:bCs/>
          <w:sz w:val="18"/>
          <w:szCs w:val="18"/>
        </w:rPr>
        <w:t>9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6F2970">
        <w:rPr>
          <w:rFonts w:ascii="Tahoma" w:hAnsi="Tahoma" w:cs="Tahoma"/>
          <w:b/>
          <w:bCs/>
          <w:sz w:val="18"/>
          <w:szCs w:val="18"/>
        </w:rPr>
        <w:t>45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ofert mogą uczestniczyć wykonawcy, którzy złożyli oferty oraz mieszkańcy budynku Wspólnoty Mieszkaniowej ul. </w:t>
      </w:r>
      <w:r w:rsidR="00CD07CE">
        <w:rPr>
          <w:rFonts w:ascii="Tahoma" w:eastAsia="Calibri" w:hAnsi="Tahoma" w:cs="Tahoma"/>
          <w:sz w:val="18"/>
          <w:szCs w:val="18"/>
          <w:lang w:bidi="en-US"/>
        </w:rPr>
        <w:t>Górnicza 10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6F2970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68139ACC" w14:textId="77777777" w:rsidR="006F2970" w:rsidRDefault="006F2970" w:rsidP="006F2970">
      <w:pPr>
        <w:rPr>
          <w:rFonts w:cs="Tahoma"/>
          <w:b/>
          <w:sz w:val="18"/>
          <w:szCs w:val="18"/>
          <w:u w:val="single"/>
        </w:rPr>
      </w:pPr>
    </w:p>
    <w:p w14:paraId="1207AE20" w14:textId="77777777" w:rsidR="006F2970" w:rsidRPr="006F2970" w:rsidRDefault="006F2970" w:rsidP="006F2970">
      <w:pPr>
        <w:rPr>
          <w:rFonts w:cs="Tahoma"/>
          <w:b/>
          <w:sz w:val="18"/>
          <w:szCs w:val="18"/>
          <w:u w:val="single"/>
        </w:rPr>
      </w:pPr>
    </w:p>
    <w:p w14:paraId="05E97906" w14:textId="77777777" w:rsidR="001D76FC" w:rsidRPr="00614DDC" w:rsidRDefault="001D76FC" w:rsidP="001D76FC">
      <w:pPr>
        <w:pStyle w:val="Akapitzlist"/>
        <w:rPr>
          <w:rFonts w:cs="Tahoma"/>
          <w:b/>
          <w:sz w:val="18"/>
          <w:szCs w:val="18"/>
          <w:u w:val="single"/>
        </w:rPr>
      </w:pP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6F2970">
        <w:rPr>
          <w:rFonts w:ascii="Tahoma" w:hAnsi="Tahoma" w:cs="Tahoma"/>
          <w:sz w:val="18"/>
          <w:szCs w:val="18"/>
        </w:rPr>
        <w:t>– Załącznik Nr 3</w:t>
      </w:r>
      <w:r w:rsidR="002C327F" w:rsidRPr="006F29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Kamil Pędziński</w:t>
      </w:r>
      <w:r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59C67376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</w:t>
      </w:r>
      <w:r w:rsidR="00E87308">
        <w:rPr>
          <w:rFonts w:ascii="Tahoma" w:hAnsi="Tahoma" w:cs="Tahoma"/>
          <w:b/>
          <w:bCs/>
          <w:sz w:val="18"/>
          <w:szCs w:val="18"/>
        </w:rPr>
        <w:t>31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28C22A00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</w:t>
      </w:r>
      <w:r w:rsidR="00E87308">
        <w:rPr>
          <w:rFonts w:ascii="Tahoma" w:hAnsi="Tahoma" w:cs="Tahoma"/>
          <w:b/>
          <w:sz w:val="18"/>
          <w:szCs w:val="18"/>
        </w:rPr>
        <w:t>31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CD07CE">
        <w:rPr>
          <w:rFonts w:ascii="Tahoma" w:hAnsi="Tahoma" w:cs="Tahoma"/>
          <w:b/>
          <w:sz w:val="18"/>
          <w:szCs w:val="18"/>
        </w:rPr>
        <w:t>r</w:t>
      </w:r>
      <w:r w:rsidR="00CD07CE">
        <w:rPr>
          <w:rFonts w:ascii="Tahoma" w:hAnsi="Tahoma" w:cs="Tahoma"/>
          <w:b/>
          <w:bCs/>
          <w:sz w:val="18"/>
          <w:szCs w:val="18"/>
          <w:lang w:bidi="en-US"/>
        </w:rPr>
        <w:t>emont</w:t>
      </w:r>
      <w:r w:rsidR="001D76FC" w:rsidRPr="001D76FC">
        <w:rPr>
          <w:rFonts w:ascii="Tahoma" w:hAnsi="Tahoma" w:cs="Tahoma"/>
          <w:sz w:val="18"/>
          <w:szCs w:val="18"/>
          <w:lang w:bidi="en-US"/>
        </w:rPr>
        <w:t xml:space="preserve"> </w:t>
      </w:r>
      <w:r w:rsidR="00E87308">
        <w:rPr>
          <w:rFonts w:ascii="Tahoma" w:hAnsi="Tahoma" w:cs="Tahoma"/>
          <w:b/>
          <w:bCs/>
          <w:sz w:val="18"/>
          <w:szCs w:val="18"/>
          <w:lang w:bidi="en-US"/>
        </w:rPr>
        <w:t xml:space="preserve">komina ponad dachem w budynku przy </w:t>
      </w:r>
      <w:r w:rsidR="00E87308" w:rsidRPr="00FD716E">
        <w:rPr>
          <w:rFonts w:ascii="Tahoma" w:hAnsi="Tahoma" w:cs="Tahoma"/>
          <w:b/>
          <w:sz w:val="18"/>
          <w:szCs w:val="18"/>
          <w:lang w:bidi="en-US"/>
        </w:rPr>
        <w:t xml:space="preserve">ul. </w:t>
      </w:r>
      <w:r w:rsidR="00E87308">
        <w:rPr>
          <w:rFonts w:ascii="Tahoma" w:hAnsi="Tahoma" w:cs="Tahoma"/>
          <w:b/>
          <w:sz w:val="18"/>
          <w:szCs w:val="18"/>
          <w:lang w:bidi="en-US"/>
        </w:rPr>
        <w:t>Armii Krajowej 10</w:t>
      </w:r>
      <w:r w:rsidR="00E87308" w:rsidRPr="00FD716E">
        <w:rPr>
          <w:rFonts w:ascii="Tahoma" w:hAnsi="Tahoma" w:cs="Tahoma"/>
          <w:b/>
          <w:sz w:val="18"/>
          <w:szCs w:val="18"/>
          <w:lang w:bidi="en-US"/>
        </w:rPr>
        <w:t xml:space="preserve">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 xml:space="preserve">jak również zapewnienia bezpieczeństwa osobom poruszającym się po </w:t>
      </w:r>
      <w:r w:rsidRPr="008A66D2">
        <w:rPr>
          <w:rFonts w:ascii="Tahoma" w:hAnsi="Tahoma" w:cs="Tahoma"/>
          <w:sz w:val="18"/>
          <w:szCs w:val="18"/>
        </w:rPr>
        <w:lastRenderedPageBreak/>
        <w:t>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7B09F578" w:rsidR="002940DF" w:rsidRPr="004C2A84" w:rsidRDefault="00CD07CE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 xml:space="preserve">Opis przedmiotu zamówienia /przedmiar robót/ </w:t>
      </w:r>
      <w:r w:rsidR="00614DDC" w:rsidRPr="004C2A84">
        <w:rPr>
          <w:rFonts w:ascii="Tahoma" w:hAnsi="Tahoma" w:cs="Tahoma"/>
          <w:sz w:val="18"/>
          <w:szCs w:val="18"/>
        </w:rPr>
        <w:t xml:space="preserve"> 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5C43013F" w:rsidR="002940DF" w:rsidRPr="00332041" w:rsidRDefault="002940DF" w:rsidP="005E05F5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332041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</w:t>
      </w:r>
      <w:r w:rsidR="00332041" w:rsidRPr="00332041">
        <w:rPr>
          <w:rFonts w:ascii="Tahoma" w:hAnsi="Tahoma" w:cs="Tahoma"/>
          <w:bCs/>
          <w:sz w:val="18"/>
          <w:szCs w:val="18"/>
        </w:rPr>
        <w:t>Prezes Zarządu</w:t>
      </w:r>
    </w:p>
    <w:p w14:paraId="7B064882" w14:textId="17D6547D" w:rsidR="00332041" w:rsidRPr="00332041" w:rsidRDefault="00332041" w:rsidP="005E05F5">
      <w:pPr>
        <w:rPr>
          <w:rFonts w:ascii="Tahoma" w:hAnsi="Tahoma" w:cs="Tahoma"/>
          <w:bCs/>
          <w:sz w:val="18"/>
          <w:szCs w:val="18"/>
        </w:rPr>
      </w:pPr>
      <w:r w:rsidRPr="00332041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   PGKiM PLUS Sp. z o.o. w Koninie</w:t>
      </w:r>
    </w:p>
    <w:p w14:paraId="0A0CFE52" w14:textId="77777777" w:rsidR="00332041" w:rsidRPr="00332041" w:rsidRDefault="00332041" w:rsidP="005E05F5">
      <w:pPr>
        <w:rPr>
          <w:rFonts w:ascii="Tahoma" w:hAnsi="Tahoma" w:cs="Tahoma"/>
          <w:bCs/>
          <w:sz w:val="18"/>
          <w:szCs w:val="18"/>
        </w:rPr>
      </w:pPr>
    </w:p>
    <w:p w14:paraId="03EA0815" w14:textId="6D64A4E3" w:rsidR="002940DF" w:rsidRPr="00332041" w:rsidRDefault="00332041" w:rsidP="002940DF">
      <w:pPr>
        <w:rPr>
          <w:rFonts w:ascii="Tahoma" w:hAnsi="Tahoma" w:cs="Tahoma"/>
          <w:bCs/>
          <w:sz w:val="20"/>
          <w:szCs w:val="20"/>
        </w:rPr>
      </w:pPr>
      <w:r w:rsidRPr="00332041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    Michał Zawadzki</w:t>
      </w:r>
    </w:p>
    <w:p w14:paraId="4444C24E" w14:textId="1888DF19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Konin, dn. 2</w:t>
      </w:r>
      <w:r w:rsidR="00E87308">
        <w:rPr>
          <w:rFonts w:ascii="Tahoma" w:hAnsi="Tahoma" w:cs="Tahoma"/>
          <w:sz w:val="18"/>
          <w:szCs w:val="18"/>
        </w:rPr>
        <w:t>1</w:t>
      </w:r>
      <w:r w:rsidRPr="005E05F5">
        <w:rPr>
          <w:rFonts w:ascii="Tahoma" w:hAnsi="Tahoma" w:cs="Tahoma"/>
          <w:sz w:val="18"/>
          <w:szCs w:val="18"/>
        </w:rPr>
        <w:t>.0</w:t>
      </w:r>
      <w:r w:rsidR="00E87308">
        <w:rPr>
          <w:rFonts w:ascii="Tahoma" w:hAnsi="Tahoma" w:cs="Tahoma"/>
          <w:sz w:val="18"/>
          <w:szCs w:val="18"/>
        </w:rPr>
        <w:t>8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13A17F5C" w14:textId="1193C7CC" w:rsidR="00E87308" w:rsidRPr="00E87308" w:rsidRDefault="002940DF" w:rsidP="00332041">
      <w:pPr>
        <w:rPr>
          <w:rFonts w:ascii="Tahoma" w:hAnsi="Tahoma" w:cs="Tahoma"/>
          <w:sz w:val="16"/>
          <w:szCs w:val="16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E87308" w:rsidRPr="00E87308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F53A8"/>
    <w:rsid w:val="00101042"/>
    <w:rsid w:val="001477AC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2041"/>
    <w:rsid w:val="0033644C"/>
    <w:rsid w:val="00397B57"/>
    <w:rsid w:val="003C492A"/>
    <w:rsid w:val="003C674F"/>
    <w:rsid w:val="004A3D47"/>
    <w:rsid w:val="004E329C"/>
    <w:rsid w:val="005036C4"/>
    <w:rsid w:val="00593FDA"/>
    <w:rsid w:val="00596ED9"/>
    <w:rsid w:val="005E05F5"/>
    <w:rsid w:val="00606D29"/>
    <w:rsid w:val="00614DDC"/>
    <w:rsid w:val="00653A02"/>
    <w:rsid w:val="006A2576"/>
    <w:rsid w:val="006F2970"/>
    <w:rsid w:val="007311BA"/>
    <w:rsid w:val="007549C9"/>
    <w:rsid w:val="00766B44"/>
    <w:rsid w:val="007801B2"/>
    <w:rsid w:val="00794A26"/>
    <w:rsid w:val="007C4FE6"/>
    <w:rsid w:val="007F2D8D"/>
    <w:rsid w:val="0084024D"/>
    <w:rsid w:val="00867881"/>
    <w:rsid w:val="00882DD9"/>
    <w:rsid w:val="008A66D2"/>
    <w:rsid w:val="0097420C"/>
    <w:rsid w:val="00980BC7"/>
    <w:rsid w:val="009C4B02"/>
    <w:rsid w:val="009E034F"/>
    <w:rsid w:val="00A32DF9"/>
    <w:rsid w:val="00AA202D"/>
    <w:rsid w:val="00AB3732"/>
    <w:rsid w:val="00AB43F6"/>
    <w:rsid w:val="00AD655B"/>
    <w:rsid w:val="00B56FE6"/>
    <w:rsid w:val="00B96C8E"/>
    <w:rsid w:val="00BC3F76"/>
    <w:rsid w:val="00BC5199"/>
    <w:rsid w:val="00BD6B5F"/>
    <w:rsid w:val="00BE1782"/>
    <w:rsid w:val="00C00CD0"/>
    <w:rsid w:val="00C23B58"/>
    <w:rsid w:val="00C75EA4"/>
    <w:rsid w:val="00C86DCF"/>
    <w:rsid w:val="00CD07CE"/>
    <w:rsid w:val="00CD52AE"/>
    <w:rsid w:val="00D0505F"/>
    <w:rsid w:val="00DD4F81"/>
    <w:rsid w:val="00DE479E"/>
    <w:rsid w:val="00DF19D5"/>
    <w:rsid w:val="00E564B5"/>
    <w:rsid w:val="00E77445"/>
    <w:rsid w:val="00E87308"/>
    <w:rsid w:val="00EE0AE6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3194</Words>
  <Characters>19165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10</cp:revision>
  <cp:lastPrinted>2024-08-21T11:49:00Z</cp:lastPrinted>
  <dcterms:created xsi:type="dcterms:W3CDTF">2024-05-22T07:30:00Z</dcterms:created>
  <dcterms:modified xsi:type="dcterms:W3CDTF">2024-08-22T09:18:00Z</dcterms:modified>
</cp:coreProperties>
</file>